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E4" w:rsidRDefault="00C50842">
      <w:pPr>
        <w:shd w:val="clear" w:color="auto" w:fill="FFFFFF"/>
        <w:jc w:val="center"/>
        <w:divId w:val="1515800826"/>
        <w:rPr>
          <w:rFonts w:eastAsia="Times New Roman"/>
          <w:color w:val="000080"/>
          <w:sz w:val="28"/>
          <w:szCs w:val="28"/>
        </w:rPr>
      </w:pPr>
      <w:r w:rsidRPr="006F7ABF">
        <w:rPr>
          <w:rFonts w:eastAsia="Times New Roman"/>
          <w:color w:val="000080"/>
          <w:sz w:val="28"/>
          <w:szCs w:val="28"/>
        </w:rPr>
        <w:t>20</w:t>
      </w:r>
      <w:r w:rsidR="006F7ABF" w:rsidRPr="006F7ABF">
        <w:rPr>
          <w:rFonts w:eastAsia="Times New Roman"/>
          <w:color w:val="000080"/>
          <w:sz w:val="28"/>
          <w:szCs w:val="28"/>
          <w:lang w:val="en-US"/>
        </w:rPr>
        <w:t>24</w:t>
      </w:r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йилда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ўтказилган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танловлар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(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тендерлар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)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ва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амалга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оширилган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давлат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харидлари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тўғрисидаги</w:t>
      </w:r>
      <w:proofErr w:type="spellEnd"/>
    </w:p>
    <w:p w:rsidR="006F7ABF" w:rsidRPr="006F7ABF" w:rsidRDefault="006F7ABF">
      <w:pPr>
        <w:shd w:val="clear" w:color="auto" w:fill="FFFFFF"/>
        <w:jc w:val="center"/>
        <w:divId w:val="1515800826"/>
        <w:rPr>
          <w:rFonts w:eastAsia="Times New Roman"/>
          <w:color w:val="000080"/>
          <w:sz w:val="10"/>
          <w:szCs w:val="10"/>
        </w:rPr>
      </w:pPr>
    </w:p>
    <w:p w:rsidR="001007E4" w:rsidRPr="006F7ABF" w:rsidRDefault="00C50842">
      <w:pPr>
        <w:shd w:val="clear" w:color="auto" w:fill="FFFFFF"/>
        <w:jc w:val="center"/>
        <w:divId w:val="123620206"/>
        <w:rPr>
          <w:rFonts w:eastAsia="Times New Roman"/>
          <w:b/>
          <w:bCs/>
          <w:caps/>
          <w:color w:val="000080"/>
          <w:sz w:val="28"/>
          <w:szCs w:val="28"/>
        </w:rPr>
      </w:pPr>
      <w:r w:rsidRPr="006F7ABF">
        <w:rPr>
          <w:rFonts w:eastAsia="Times New Roman"/>
          <w:b/>
          <w:bCs/>
          <w:caps/>
          <w:color w:val="000080"/>
          <w:sz w:val="28"/>
          <w:szCs w:val="28"/>
        </w:rPr>
        <w:t>МАЪЛУМОТЛАР</w:t>
      </w:r>
    </w:p>
    <w:p w:rsidR="006F7ABF" w:rsidRPr="006F7ABF" w:rsidRDefault="006F7ABF">
      <w:pPr>
        <w:shd w:val="clear" w:color="auto" w:fill="FFFFFF"/>
        <w:jc w:val="center"/>
        <w:divId w:val="123620206"/>
        <w:rPr>
          <w:rFonts w:eastAsia="Times New Roman"/>
          <w:caps/>
          <w:color w:val="000080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300"/>
        <w:gridCol w:w="4271"/>
        <w:gridCol w:w="2191"/>
        <w:gridCol w:w="3827"/>
        <w:gridCol w:w="2488"/>
      </w:tblGrid>
      <w:tr w:rsidR="001007E4">
        <w:trPr>
          <w:divId w:val="123620206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Йўналишлари</w:t>
            </w:r>
            <w:proofErr w:type="spellEnd"/>
          </w:p>
        </w:tc>
        <w:tc>
          <w:tcPr>
            <w:tcW w:w="2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Товар (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>)</w:t>
            </w:r>
            <w:proofErr w:type="spellStart"/>
            <w:r>
              <w:rPr>
                <w:b/>
                <w:bCs/>
              </w:rPr>
              <w:t>лар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харид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тузилган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шартномалар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Молиялаштириш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манбаси</w:t>
            </w:r>
            <w:proofErr w:type="spellEnd"/>
            <w:r>
              <w:rPr>
                <w:b/>
                <w:bCs/>
              </w:rPr>
              <w:t xml:space="preserve">* </w:t>
            </w: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</w:tr>
      <w:tr w:rsidR="001007E4">
        <w:trPr>
          <w:divId w:val="123620206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t>1.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1-чорак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  <w:p w:rsidR="00A6509E" w:rsidRDefault="00A6509E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ind w:firstLine="240"/>
              <w:jc w:val="center"/>
            </w:pPr>
            <w:r>
              <w:t>243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r w:rsidRPr="002962E3">
              <w:rPr>
                <w:rFonts w:eastAsia="Times New Roman"/>
              </w:rPr>
              <w:t xml:space="preserve">720 708,87 </w:t>
            </w:r>
            <w:proofErr w:type="spellStart"/>
            <w:proofErr w:type="gramStart"/>
            <w:r w:rsidRPr="002962E3">
              <w:rPr>
                <w:rFonts w:eastAsia="Times New Roman"/>
              </w:rPr>
              <w:t>млн.сум</w:t>
            </w:r>
            <w:proofErr w:type="spellEnd"/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t>2.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2-чорак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ind w:firstLine="240"/>
              <w:jc w:val="center"/>
            </w:pPr>
            <w:r>
              <w:t>215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r w:rsidRPr="002962E3">
              <w:rPr>
                <w:rFonts w:eastAsia="Times New Roman"/>
              </w:rPr>
              <w:t xml:space="preserve">3 759 774,29 </w:t>
            </w:r>
            <w:proofErr w:type="spellStart"/>
            <w:proofErr w:type="gramStart"/>
            <w:r w:rsidRPr="002962E3">
              <w:rPr>
                <w:rFonts w:eastAsia="Times New Roman"/>
              </w:rPr>
              <w:t>млн.сум</w:t>
            </w:r>
            <w:proofErr w:type="spellEnd"/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t>3.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3-чорак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ind w:firstLine="240"/>
              <w:jc w:val="center"/>
            </w:pPr>
            <w:r>
              <w:t>186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3 624 805,04 </w:t>
            </w:r>
            <w:proofErr w:type="spellStart"/>
            <w:proofErr w:type="gramStart"/>
            <w:r>
              <w:rPr>
                <w:rFonts w:eastAsia="Times New Roman"/>
              </w:rPr>
              <w:t>млн.сум</w:t>
            </w:r>
            <w:proofErr w:type="spellEnd"/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t>4.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4-чорак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ind w:firstLine="240"/>
              <w:jc w:val="center"/>
            </w:pPr>
            <w:r>
              <w:t>214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1 379 104,05 </w:t>
            </w:r>
            <w:proofErr w:type="spellStart"/>
            <w:proofErr w:type="gramStart"/>
            <w:r>
              <w:rPr>
                <w:rFonts w:eastAsia="Times New Roman"/>
              </w:rPr>
              <w:t>млн.сум</w:t>
            </w:r>
            <w:proofErr w:type="spellEnd"/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50842" w:rsidRDefault="00C50842" w:rsidP="006F7ABF">
      <w:pPr>
        <w:shd w:val="clear" w:color="auto" w:fill="FFFFFF"/>
        <w:ind w:firstLine="851"/>
        <w:jc w:val="both"/>
        <w:divId w:val="123620206"/>
        <w:rPr>
          <w:rFonts w:eastAsia="Times New Roman"/>
          <w:i/>
          <w:iCs/>
          <w:color w:val="800000"/>
          <w:sz w:val="22"/>
          <w:szCs w:val="22"/>
        </w:rPr>
      </w:pPr>
    </w:p>
    <w:sectPr w:rsidR="00C50842" w:rsidSect="006F7ABF">
      <w:pgSz w:w="16840" w:h="11907" w:orient="landscape"/>
      <w:pgMar w:top="426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BF"/>
    <w:rsid w:val="001007E4"/>
    <w:rsid w:val="002962E3"/>
    <w:rsid w:val="006F7ABF"/>
    <w:rsid w:val="00A6509E"/>
    <w:rsid w:val="00AA0D15"/>
    <w:rsid w:val="00B15C8D"/>
    <w:rsid w:val="00C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B970E"/>
  <w15:chartTrackingRefBased/>
  <w15:docId w15:val="{F4A7F791-7A15-4DF3-99D1-45B89FD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Natalya V. Kunina</cp:lastModifiedBy>
  <cp:revision>2</cp:revision>
  <dcterms:created xsi:type="dcterms:W3CDTF">2025-01-29T05:12:00Z</dcterms:created>
  <dcterms:modified xsi:type="dcterms:W3CDTF">2025-01-29T05:12:00Z</dcterms:modified>
</cp:coreProperties>
</file>